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6D" w:rsidRDefault="004C079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1045845</wp:posOffset>
                </wp:positionV>
                <wp:extent cx="6297295" cy="0"/>
                <wp:effectExtent l="16510" t="7620" r="1079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8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55pt;margin-top:82.35pt;width:495.8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1253490</wp:posOffset>
                </wp:positionV>
                <wp:extent cx="0" cy="8415020"/>
                <wp:effectExtent l="12700" t="5715" r="635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4150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4EF3" id="AutoShape 3" o:spid="_x0000_s1026" type="#_x0000_t32" style="position:absolute;margin-left:238.75pt;margin-top:98.7pt;width:0;height:6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5174615</wp:posOffset>
                </wp:positionH>
                <wp:positionV relativeFrom="page">
                  <wp:posOffset>1253490</wp:posOffset>
                </wp:positionV>
                <wp:extent cx="0" cy="8412480"/>
                <wp:effectExtent l="12065" t="5715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4124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5C74" id="AutoShape 2" o:spid="_x0000_s1026" type="#_x0000_t32" style="position:absolute;margin-left:407.45pt;margin-top:98.7pt;width:0;height:66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A7B6D" w:rsidRDefault="00C175C9">
      <w:pPr>
        <w:pStyle w:val="10"/>
        <w:framePr w:wrap="none" w:vAnchor="page" w:hAnchor="page" w:x="1469" w:y="1162"/>
        <w:shd w:val="clear" w:color="auto" w:fill="auto"/>
        <w:spacing w:line="320" w:lineRule="exact"/>
      </w:pPr>
      <w:bookmarkStart w:id="0" w:name="bookmark0"/>
      <w:r>
        <w:t>♦</w:t>
      </w:r>
      <w:r>
        <w:t xml:space="preserve"> Дайджест</w:t>
      </w:r>
      <w:bookmarkEnd w:id="0"/>
    </w:p>
    <w:p w:rsidR="002A7B6D" w:rsidRDefault="00C175C9">
      <w:pPr>
        <w:pStyle w:val="30"/>
        <w:framePr w:w="3230" w:h="13467" w:hRule="exact" w:wrap="none" w:vAnchor="page" w:hAnchor="page" w:x="1469" w:y="1866"/>
        <w:shd w:val="clear" w:color="auto" w:fill="auto"/>
        <w:spacing w:after="184"/>
      </w:pPr>
      <w:r>
        <w:t>Растительные остатки как энергетический материал для почвообразования и питания культур</w:t>
      </w:r>
    </w:p>
    <w:p w:rsidR="002A7B6D" w:rsidRDefault="00C175C9">
      <w:pPr>
        <w:pStyle w:val="20"/>
        <w:framePr w:w="3230" w:h="13467" w:hRule="exact" w:wrap="none" w:vAnchor="page" w:hAnchor="page" w:x="1469" w:y="1866"/>
        <w:shd w:val="clear" w:color="auto" w:fill="auto"/>
        <w:spacing w:before="0"/>
        <w:ind w:firstLine="200"/>
      </w:pPr>
      <w:r>
        <w:t>В последнее десятилетие с целью биологизации земледелия и повышения плодородия почв в процессе выращивания сельхозкультур применяется технология уборки,</w:t>
      </w:r>
      <w:r>
        <w:t xml:space="preserve"> при которой их листостебельная масса измельчается и впоследствии рассеивается по полю. Солома таких культур, как пшеница и ячмень, в среднем содержит фосфор в количестве 0,2%, азот — 0,5%, калий — 0,9—1 % и углерод 30—40%, а листостебельная масса подсолне</w:t>
      </w:r>
      <w:r>
        <w:t xml:space="preserve">чника — фосфор в количестве 1,56%, азот — 4,52%, калий — 0,76%, а кроме того, серу, магний, кальций и разные микроэлементы (бор, марганец, молибден, медь, кобальт, цинк и др.). Таким образом, из сравнительных характеристик видно, что листостебельная масса </w:t>
      </w:r>
      <w:r>
        <w:t>подсолнечника имеет наибольшую ценность по содержанию макроэлементов.</w:t>
      </w:r>
    </w:p>
    <w:p w:rsidR="002A7B6D" w:rsidRDefault="00C175C9">
      <w:pPr>
        <w:pStyle w:val="20"/>
        <w:framePr w:w="3230" w:h="13467" w:hRule="exact" w:wrap="none" w:vAnchor="page" w:hAnchor="page" w:x="1469" w:y="1866"/>
        <w:shd w:val="clear" w:color="auto" w:fill="auto"/>
        <w:spacing w:before="0"/>
        <w:ind w:firstLine="200"/>
      </w:pPr>
      <w:r>
        <w:t xml:space="preserve">Если брать во внимание средние показатели урожайности зерновых в размере 2—3 т/га, то вместе с соломой в почву можно вернуть азот в количестве 10—15 кг, калий 24—30 кг, фосфор 5—8 кг и, </w:t>
      </w:r>
      <w:r>
        <w:t>помимо этого, микроэлементы в соответствующем количестве. Как утверждают специалисты, возврат питательных веществ с растительными остатками относительно выноса их с урожаем, если рассматривать озимую пшеницу, составит Р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 xml:space="preserve"> - 34,6%, </w:t>
      </w:r>
      <w:r>
        <w:rPr>
          <w:lang w:val="en-US" w:eastAsia="en-US" w:bidi="en-US"/>
        </w:rPr>
        <w:t>N</w:t>
      </w:r>
      <w:r w:rsidRPr="004C0799">
        <w:rPr>
          <w:lang w:eastAsia="en-US" w:bidi="en-US"/>
        </w:rPr>
        <w:t xml:space="preserve"> </w:t>
      </w:r>
      <w:r>
        <w:t>— 35%, (С,0 - 28,8%, к</w:t>
      </w:r>
      <w:r>
        <w:t>укурузу—33%, 29,3%, 42,2% и сахарную свеклу — 20,6%, 18,1%, 11,8% соответственно. Подсолнечник и многолетние травы после уборки дают наибольший процент возврата питательных элементов с пожнивно-корневыми остатками.</w:t>
      </w:r>
    </w:p>
    <w:p w:rsidR="002A7B6D" w:rsidRDefault="00C175C9">
      <w:pPr>
        <w:pStyle w:val="20"/>
        <w:framePr w:w="3230" w:h="13467" w:hRule="exact" w:wrap="none" w:vAnchor="page" w:hAnchor="page" w:x="1469" w:y="1866"/>
        <w:shd w:val="clear" w:color="auto" w:fill="auto"/>
        <w:spacing w:before="0"/>
        <w:ind w:firstLine="200"/>
      </w:pPr>
      <w:r>
        <w:t xml:space="preserve">Измельченная завернутая в почву солома и </w:t>
      </w:r>
      <w:r>
        <w:t xml:space="preserve">иная побочная продукция растениеводства в количестве 1 т по удобрительной эффективности приравнивается к полуперепревшему навозу в объеме 3,5—4 т. Заделка соломы в грунт в месте ее сбора позволяет также избежать затраты средств на скирдование и перевозку. </w:t>
      </w:r>
      <w:r>
        <w:t>Листостебельную массу необходимо завернуть в почву, поскольку она есть не что иное, как энергетический материал для культурного почвообразования. Данные действия способствуют замыканию малого биологического круговорота веществ, разомкнутого вследствие сист</w:t>
      </w:r>
      <w:r>
        <w:t>ематического отчуждения основной массы биопродукции растений.</w:t>
      </w:r>
    </w:p>
    <w:p w:rsidR="002A7B6D" w:rsidRDefault="00C175C9">
      <w:pPr>
        <w:pStyle w:val="20"/>
        <w:framePr w:w="3230" w:h="13467" w:hRule="exact" w:wrap="none" w:vAnchor="page" w:hAnchor="page" w:x="1469" w:y="1866"/>
        <w:shd w:val="clear" w:color="auto" w:fill="auto"/>
        <w:spacing w:before="0"/>
        <w:ind w:firstLine="200"/>
      </w:pPr>
      <w:r>
        <w:t>По мнению экспертов, измельчение побочной растительной продукции комбайнами и ее равномерное распределение по полю способствуют ускорению инфильтрации влаги в почву, уменьшению поверхностного ст</w:t>
      </w:r>
      <w:r>
        <w:t>ока, скорости ветра на поверхности грунта, снижению</w:t>
      </w:r>
    </w:p>
    <w:p w:rsidR="002A7B6D" w:rsidRDefault="00C175C9">
      <w:pPr>
        <w:pStyle w:val="20"/>
        <w:framePr w:w="3230" w:h="13468" w:hRule="exact" w:wrap="none" w:vAnchor="page" w:hAnchor="page" w:x="4848" w:y="1866"/>
        <w:shd w:val="clear" w:color="auto" w:fill="auto"/>
        <w:spacing w:before="0"/>
      </w:pPr>
      <w:r>
        <w:t>температуры почвы и, таким образом, уменьшению потерь влаги на испарение. Помимо этого, разбросанные растительные остатки принимают на себя кинетическую энергию дождевых капель, предотвращают заплывание п</w:t>
      </w:r>
      <w:r>
        <w:t>очв и образование поверхностных корок, ослабляют эрозию и, что немаловажно, поглощают оставшийся неиспользованным при формировании урожая азот, тем самым помогая предотвратить его потери и загрязнение грунтовых вод. Последующие культуры используют разлагаю</w:t>
      </w:r>
      <w:r>
        <w:t>щиеся послеуборочные остатки. Насколько быстро произойдет микробное разложение соломы, зависит от следующих факторов: присутствие в грунте источников питания для микроорганизмов, их численность, видовой состав и активность, тип почвы, ее окультуривание, те</w:t>
      </w:r>
      <w:r>
        <w:t>мпература, влажность, аэрация и т. д.</w:t>
      </w:r>
    </w:p>
    <w:p w:rsidR="002A7B6D" w:rsidRDefault="00C175C9">
      <w:pPr>
        <w:pStyle w:val="20"/>
        <w:framePr w:w="3230" w:h="13468" w:hRule="exact" w:wrap="none" w:vAnchor="page" w:hAnchor="page" w:x="4848" w:y="1866"/>
        <w:shd w:val="clear" w:color="auto" w:fill="auto"/>
        <w:spacing w:before="0" w:after="116"/>
        <w:ind w:firstLine="200"/>
      </w:pPr>
      <w:r>
        <w:t>Из этого следует, что при выращивании сельскохозяйственных культур предотвратить повышенную минерализацию почвы и эрозионные процессы в зоне междурядья можно путем проекционного покрытия почвы растительными остатками п</w:t>
      </w:r>
      <w:r>
        <w:t>редыдущих культур.</w:t>
      </w:r>
    </w:p>
    <w:p w:rsidR="002A7B6D" w:rsidRDefault="00C175C9">
      <w:pPr>
        <w:pStyle w:val="30"/>
        <w:framePr w:w="3230" w:h="13468" w:hRule="exact" w:wrap="none" w:vAnchor="page" w:hAnchor="page" w:x="4848" w:y="1866"/>
        <w:shd w:val="clear" w:color="auto" w:fill="auto"/>
        <w:spacing w:after="124"/>
      </w:pPr>
      <w:r>
        <w:t xml:space="preserve">Удобрения </w:t>
      </w:r>
      <w:r>
        <w:rPr>
          <w:rStyle w:val="31"/>
        </w:rPr>
        <w:t xml:space="preserve">с </w:t>
      </w:r>
      <w:r>
        <w:t>применением нанотехнологий — шаг в будущее</w:t>
      </w:r>
    </w:p>
    <w:p w:rsidR="002A7B6D" w:rsidRDefault="00C175C9">
      <w:pPr>
        <w:pStyle w:val="20"/>
        <w:framePr w:w="3230" w:h="13468" w:hRule="exact" w:wrap="none" w:vAnchor="page" w:hAnchor="page" w:x="4848" w:y="1866"/>
        <w:shd w:val="clear" w:color="auto" w:fill="auto"/>
        <w:spacing w:before="0"/>
        <w:ind w:firstLine="200"/>
      </w:pPr>
      <w:r>
        <w:t>Сильные и ухоженные растения на красивых и урожайных полях и грядках—это пока лишь только мечты. Но нанотехнологии могут помочь в скором времени воплотить их в реальность</w:t>
      </w:r>
    </w:p>
    <w:p w:rsidR="002A7B6D" w:rsidRDefault="00C175C9">
      <w:pPr>
        <w:pStyle w:val="20"/>
        <w:framePr w:w="3230" w:h="13468" w:hRule="exact" w:wrap="none" w:vAnchor="page" w:hAnchor="page" w:x="4848" w:y="1866"/>
        <w:shd w:val="clear" w:color="auto" w:fill="auto"/>
        <w:spacing w:before="0"/>
        <w:ind w:firstLine="200"/>
      </w:pPr>
      <w:r>
        <w:t xml:space="preserve">На </w:t>
      </w:r>
      <w:r>
        <w:t>сегодняшний день сельское хозяйство различных стран испытывает обострение ряда проблем. В частности, главными из них можно назвать снижение плодородия земель и их химическое загрязнение, которое провоцирует повсеместное и не всегда обоснованное эффективнос</w:t>
      </w:r>
      <w:r>
        <w:t>тью применение минеральных удобрений и ядохимикатов. Использование старых технологий химической промышленности привело к тому, что сложные соединения в огромных количествах, помимо пользы, одновременно ухудшали ситуацию. Речь идет о целом классе пестицидов</w:t>
      </w:r>
      <w:r>
        <w:t>, объединяющих ряд химических веществ разного уровня токсичности, которые используются для борьбы с сорняками, вредителями и заболеваниям*, а также стимулирующих рост растений.</w:t>
      </w:r>
    </w:p>
    <w:p w:rsidR="002A7B6D" w:rsidRDefault="00C175C9">
      <w:pPr>
        <w:pStyle w:val="20"/>
        <w:framePr w:w="3230" w:h="13468" w:hRule="exact" w:wrap="none" w:vAnchor="page" w:hAnchor="page" w:x="4848" w:y="1866"/>
        <w:shd w:val="clear" w:color="auto" w:fill="auto"/>
        <w:spacing w:before="0"/>
        <w:ind w:firstLine="200"/>
      </w:pPr>
      <w:r>
        <w:t>Нанотехнологии по мере своего развития дали возможность вывести их производство</w:t>
      </w:r>
      <w:r>
        <w:t xml:space="preserve"> и применение на новый уровень. В основе их действенности и эффективности лежат специфические свойства наноматериалов, а именно межмолекулярный квантовый уровень их взаимодействия с биологическими объектами. Так, уже имеется опыт использования в качестве н</w:t>
      </w:r>
      <w:r>
        <w:t>аноматериала углеродных нанотрубок.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/>
        <w:ind w:firstLine="200"/>
      </w:pPr>
      <w:r>
        <w:t>Для обоснования целесообразности такого использования ученые из США провели исследования, где объектом стали семена томата самого мелкого сорта. Для сравнения семена разделили на две партии, одну из которых предварительн</w:t>
      </w:r>
      <w:r>
        <w:t xml:space="preserve">о обработали наноматериалами. На всех этапах вегетации более сильными оказались растения из семян, прошедших обработку. Методы романовской спектроскопии помогли обнаружить, что все части растений содержат нанотрубки. При этом отмечалась полная переработка </w:t>
      </w:r>
      <w:r>
        <w:t>всей массы в почве и образование в больших объемах гумуса, способствующего тем самым ее восстановлению.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/>
        <w:ind w:firstLine="200"/>
      </w:pPr>
      <w:r>
        <w:t>Использование меди, железа, цинка, магния, серебра в виде более продуктивных вариантов наноформ дает возможность применять их в новом качестве и с новым</w:t>
      </w:r>
      <w:r>
        <w:t xml:space="preserve">и свойствами в виде порошков, эмульсий или растворов. Нанотехнологии позволяют несмешиваемые элементы превратить в смесь. Также примечательно, что это дает возможность их применения в очень малых количествах. Целенаправленное </w:t>
      </w:r>
      <w:r>
        <w:rPr>
          <w:rStyle w:val="2MicrosoftSansSerif75pt"/>
        </w:rPr>
        <w:t xml:space="preserve">еоздействиена </w:t>
      </w:r>
      <w:r>
        <w:t>клетки биологиче</w:t>
      </w:r>
      <w:r>
        <w:t>ских объектов, присущее нанотехнологиям, делает возможным создание интересных комплексных систем, которые одновременно могут применяться как стимулятор роста, удобрение и средство защиты растений от вредителей.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 w:after="180"/>
        <w:ind w:firstLine="200"/>
      </w:pPr>
      <w:r>
        <w:t>Первые достижения в этом направлении уже есть</w:t>
      </w:r>
      <w:r>
        <w:t>. В настоящее время разрабатываются препараты, в которых не применяются синтетические химические соединения. Примерно через десятилетие мечты могут стать воплощенной реальностью, а производители будут получать должную отдачу от своего труда, не растрачивая</w:t>
      </w:r>
      <w:r>
        <w:t xml:space="preserve"> излишнее количество ценных ресурсов.</w:t>
      </w:r>
    </w:p>
    <w:p w:rsidR="002A7B6D" w:rsidRDefault="00C175C9">
      <w:pPr>
        <w:pStyle w:val="30"/>
        <w:framePr w:w="3235" w:h="13449" w:hRule="exact" w:wrap="none" w:vAnchor="page" w:hAnchor="page" w:x="8218" w:y="1871"/>
        <w:shd w:val="clear" w:color="auto" w:fill="auto"/>
        <w:spacing w:line="197" w:lineRule="exact"/>
      </w:pPr>
      <w:r>
        <w:t>Аргентина в два раза увеличит долю биоэтанола в транспортном топливе с текущих 12%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/>
        <w:ind w:firstLine="200"/>
      </w:pPr>
      <w:r>
        <w:t>Правительство Аргентины будет увеличивать долю потребления этанола, для производства которого используется кукуруза и сахарный тростник</w:t>
      </w:r>
      <w:r>
        <w:t>, и она достигнет 2 млн куб. метров в год.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/>
        <w:ind w:firstLine="200"/>
      </w:pPr>
      <w:r>
        <w:t>При этом проблем с необходимыми объемами кукурузы для производства биоэтанола не будет благодаря увеличению площади ее сева.</w:t>
      </w:r>
    </w:p>
    <w:p w:rsidR="002A7B6D" w:rsidRDefault="00C175C9">
      <w:pPr>
        <w:pStyle w:val="20"/>
        <w:framePr w:w="3235" w:h="13449" w:hRule="exact" w:wrap="none" w:vAnchor="page" w:hAnchor="page" w:x="8218" w:y="1871"/>
        <w:shd w:val="clear" w:color="auto" w:fill="auto"/>
        <w:spacing w:before="0" w:after="176"/>
        <w:ind w:firstLine="200"/>
      </w:pPr>
      <w:r>
        <w:t>Сейчас урожай кукурузы оценивается в 37 млн т. Для производства биоэтанола страна потреб</w:t>
      </w:r>
      <w:r>
        <w:t>ляет около 1,2 млн т кукурузы в год.</w:t>
      </w:r>
    </w:p>
    <w:p w:rsidR="002A7B6D" w:rsidRDefault="00C175C9">
      <w:pPr>
        <w:pStyle w:val="40"/>
        <w:framePr w:w="3235" w:h="13449" w:hRule="exact" w:wrap="none" w:vAnchor="page" w:hAnchor="page" w:x="8218" w:y="1871"/>
        <w:shd w:val="clear" w:color="auto" w:fill="auto"/>
        <w:spacing w:before="0"/>
        <w:ind w:left="1360"/>
      </w:pPr>
      <w:r>
        <w:t>Елена Пальчак, обозреватель газеты «Защита растений^</w:t>
      </w:r>
    </w:p>
    <w:p w:rsidR="002A7B6D" w:rsidRDefault="00C175C9">
      <w:pPr>
        <w:pStyle w:val="a5"/>
        <w:framePr w:wrap="none" w:vAnchor="page" w:hAnchor="page" w:x="1478" w:y="15491"/>
        <w:shd w:val="clear" w:color="auto" w:fill="auto"/>
        <w:spacing w:line="150" w:lineRule="exact"/>
      </w:pPr>
      <w:r>
        <w:t>ЗАЩИТА РАСТЕНИЙ № 6 июнь 2017 стр. 2</w:t>
      </w:r>
    </w:p>
    <w:p w:rsidR="002A7B6D" w:rsidRPr="004C0799" w:rsidRDefault="00C175C9">
      <w:pPr>
        <w:pStyle w:val="22"/>
        <w:framePr w:wrap="none" w:vAnchor="page" w:hAnchor="page" w:x="5774" w:y="15500"/>
        <w:shd w:val="clear" w:color="auto" w:fill="auto"/>
        <w:spacing w:line="170" w:lineRule="exact"/>
        <w:rPr>
          <w:lang w:val="ru-RU"/>
        </w:rPr>
      </w:pPr>
      <w:hyperlink r:id="rId6" w:history="1">
        <w:r>
          <w:rPr>
            <w:rStyle w:val="a3"/>
          </w:rPr>
          <w:t>www</w:t>
        </w:r>
        <w:r w:rsidRPr="004C0799">
          <w:rPr>
            <w:rStyle w:val="a3"/>
            <w:lang w:val="ru-RU"/>
          </w:rPr>
          <w:t>.</w:t>
        </w:r>
        <w:r>
          <w:rPr>
            <w:rStyle w:val="a3"/>
          </w:rPr>
          <w:t>agroxxi</w:t>
        </w:r>
        <w:r w:rsidRPr="004C0799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2A7B6D" w:rsidRDefault="00C175C9">
      <w:pPr>
        <w:pStyle w:val="33"/>
        <w:framePr w:wrap="none" w:vAnchor="page" w:hAnchor="page" w:x="9130" w:y="15487"/>
        <w:shd w:val="clear" w:color="auto" w:fill="auto"/>
        <w:spacing w:line="140" w:lineRule="exact"/>
      </w:pPr>
      <w:r>
        <w:t>© ООО «Издательство Дгроруо</w:t>
      </w:r>
    </w:p>
    <w:p w:rsidR="002A7B6D" w:rsidRDefault="002A7B6D">
      <w:pPr>
        <w:rPr>
          <w:sz w:val="2"/>
          <w:szCs w:val="2"/>
        </w:rPr>
      </w:pPr>
      <w:bookmarkStart w:id="1" w:name="_GoBack"/>
      <w:bookmarkEnd w:id="1"/>
    </w:p>
    <w:sectPr w:rsidR="002A7B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C9" w:rsidRDefault="00C175C9">
      <w:r>
        <w:separator/>
      </w:r>
    </w:p>
  </w:endnote>
  <w:endnote w:type="continuationSeparator" w:id="0">
    <w:p w:rsidR="00C175C9" w:rsidRDefault="00C1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C9" w:rsidRDefault="00C175C9"/>
  </w:footnote>
  <w:footnote w:type="continuationSeparator" w:id="0">
    <w:p w:rsidR="00C175C9" w:rsidRDefault="00C175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D"/>
    <w:rsid w:val="002A7B6D"/>
    <w:rsid w:val="004C0799"/>
    <w:rsid w:val="00C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9138-B28D-4F9B-9410-11C76FE7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2" w:lineRule="exact"/>
      <w:ind w:firstLine="200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97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2" w:lineRule="exact"/>
      <w:jc w:val="right"/>
    </w:pPr>
    <w:rPr>
      <w:rFonts w:ascii="Tahoma" w:eastAsia="Tahoma" w:hAnsi="Tahoma" w:cs="Tahoma"/>
      <w:b/>
      <w:bCs/>
      <w:i/>
      <w:iCs/>
      <w:spacing w:val="-10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val="en-US" w:eastAsia="en-US" w:bidi="en-US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oxx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Stexzavod</dc:creator>
  <cp:lastModifiedBy>Stexzavod</cp:lastModifiedBy>
  <cp:revision>1</cp:revision>
  <dcterms:created xsi:type="dcterms:W3CDTF">2017-07-13T07:40:00Z</dcterms:created>
  <dcterms:modified xsi:type="dcterms:W3CDTF">2017-07-13T07:41:00Z</dcterms:modified>
</cp:coreProperties>
</file>